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4B22" w:rsidRPr="00194B22" w:rsidRDefault="00194B22" w:rsidP="00194B22">
      <w:pPr>
        <w:jc w:val="center"/>
        <w:rPr>
          <w:b/>
        </w:rPr>
      </w:pPr>
      <w:proofErr w:type="spellStart"/>
      <w:r w:rsidRPr="00194B22">
        <w:rPr>
          <w:b/>
        </w:rPr>
        <w:t>Regional</w:t>
      </w:r>
      <w:proofErr w:type="spellEnd"/>
      <w:r w:rsidRPr="00194B22">
        <w:rPr>
          <w:b/>
        </w:rPr>
        <w:t xml:space="preserve"> </w:t>
      </w:r>
      <w:proofErr w:type="spellStart"/>
      <w:r w:rsidRPr="00194B22">
        <w:rPr>
          <w:b/>
        </w:rPr>
        <w:t>gross</w:t>
      </w:r>
      <w:proofErr w:type="spellEnd"/>
      <w:r w:rsidRPr="00194B22">
        <w:rPr>
          <w:b/>
        </w:rPr>
        <w:t xml:space="preserve"> </w:t>
      </w:r>
      <w:proofErr w:type="spellStart"/>
      <w:r w:rsidRPr="00194B22">
        <w:rPr>
          <w:b/>
        </w:rPr>
        <w:t>domestic</w:t>
      </w:r>
      <w:proofErr w:type="spellEnd"/>
      <w:r w:rsidRPr="00194B22">
        <w:rPr>
          <w:b/>
        </w:rPr>
        <w:t xml:space="preserve"> </w:t>
      </w:r>
      <w:proofErr w:type="spellStart"/>
      <w:r w:rsidRPr="00194B22">
        <w:rPr>
          <w:b/>
        </w:rPr>
        <w:t>product</w:t>
      </w:r>
      <w:proofErr w:type="spellEnd"/>
      <w:r w:rsidRPr="00194B22">
        <w:rPr>
          <w:b/>
        </w:rPr>
        <w:t xml:space="preserve"> (</w:t>
      </w:r>
      <w:proofErr w:type="spellStart"/>
      <w:r w:rsidRPr="00194B22">
        <w:rPr>
          <w:b/>
        </w:rPr>
        <w:t>million</w:t>
      </w:r>
      <w:proofErr w:type="spellEnd"/>
      <w:r w:rsidRPr="00194B22">
        <w:rPr>
          <w:b/>
        </w:rPr>
        <w:t xml:space="preserve"> PPS) by NUTS 2 </w:t>
      </w:r>
      <w:proofErr w:type="spellStart"/>
      <w:r w:rsidRPr="00194B22">
        <w:rPr>
          <w:b/>
        </w:rPr>
        <w:t>regions</w:t>
      </w:r>
      <w:proofErr w:type="spellEnd"/>
    </w:p>
    <w:p w:rsidR="00D23488" w:rsidRDefault="00D23488" w:rsidP="00194B22">
      <w:pPr>
        <w:jc w:val="right"/>
      </w:pPr>
      <w:r>
        <w:t xml:space="preserve">Dominik </w:t>
      </w:r>
      <w:proofErr w:type="spellStart"/>
      <w:r>
        <w:t>Prymš</w:t>
      </w:r>
      <w:proofErr w:type="spellEnd"/>
    </w:p>
    <w:p w:rsidR="00574D63" w:rsidRDefault="00963E4C" w:rsidP="00194B22">
      <w:pPr>
        <w:jc w:val="both"/>
      </w:pPr>
      <w:r w:rsidRPr="00963E4C">
        <w:t xml:space="preserve">Hrubý domácí produkt přepočtený na PPP (parita kupní síly) vyjadřuje počet jednotek národní měny, za který lze koupit stejné množství výrobků a služeb na vnitrostátním trh. Tento přepočet umožňuje podstatně přesnější srovnání skutečné ekonomické úrovně, struktury a výkonnosti států.  </w:t>
      </w:r>
      <w:r w:rsidR="00D23488" w:rsidRPr="00D23488">
        <w:t xml:space="preserve">Parita kupní síly se tedy liší od kurzu měny, který určuje </w:t>
      </w:r>
      <w:r w:rsidR="00D23488">
        <w:t>v podstatě zájem o měnu</w:t>
      </w:r>
      <w:r w:rsidR="00D23488" w:rsidRPr="00D23488">
        <w:t xml:space="preserve"> na mezinárodních finančních trzích a najdeme jej např. na kurzovním lístku, neboť zahrnuje i ty příjmy obyvatelstva, které nejsou přímo vyjádřeny peněžními jednotkami. Jde např. o různé dotace, regulované ceny, odlišné míry zdanění a sociální platby.</w:t>
      </w:r>
      <w:r w:rsidR="00194B22">
        <w:t xml:space="preserve"> Může tedy nastat výrazný rozdíl od klasicky vyjádřeného HDP přepočtem např. v Euro, než PPP. Můžou se vyrovnávat rozdíly, kdy např. HDP Česka dosahuje nižšího průměru EU-27 než při přepočtu na PPP, kdy se faktický výkon ekonomiky zvyšuje. Naopak se může stát, že některé ekonomicky silnější oblasti kvůli deregulaci cen nebo nemožnosti čerpání velkého objemu dotací ztrácí svou pozici. Nejlépe si vedou silné metropolitní oblasti v jinak spíše průměrně/podprůměrně ekonomicky výkonném státu. Jak lze z mapy vyčíst, n</w:t>
      </w:r>
      <w:r w:rsidRPr="00963E4C">
        <w:t xml:space="preserve">ejvýkonnější ekonomické oblasti se </w:t>
      </w:r>
      <w:proofErr w:type="spellStart"/>
      <w:r w:rsidRPr="00963E4C">
        <w:t>soutředí</w:t>
      </w:r>
      <w:proofErr w:type="spellEnd"/>
      <w:r w:rsidRPr="00963E4C">
        <w:t xml:space="preserve"> do okolí Madrid</w:t>
      </w:r>
      <w:r w:rsidR="00194B22">
        <w:t>u, Barcelony, Varšavy</w:t>
      </w:r>
      <w:r w:rsidRPr="00963E4C">
        <w:t>, Paříž</w:t>
      </w:r>
      <w:r w:rsidR="00194B22">
        <w:t>e či severu Itálie.</w:t>
      </w:r>
      <w:r w:rsidR="00D23488" w:rsidRPr="00D23488">
        <w:t xml:space="preserve"> </w:t>
      </w:r>
      <w:r w:rsidR="00194B22">
        <w:t xml:space="preserve">Na opačném pólu se pak ocitají oblasti zaostalé, strukturálně postihnuté ve vyspělém státě jako např. NUTS 1 Severozápad v ČR </w:t>
      </w:r>
      <w:r w:rsidR="00504B55">
        <w:t>nebo jih Belie.</w:t>
      </w:r>
    </w:p>
    <w:sectPr w:rsidR="00574D63" w:rsidSect="00574D6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63E4C"/>
    <w:rsid w:val="00194B22"/>
    <w:rsid w:val="00504B55"/>
    <w:rsid w:val="00574D63"/>
    <w:rsid w:val="00963E4C"/>
    <w:rsid w:val="009B3452"/>
    <w:rsid w:val="00D23488"/>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574D63"/>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215</Words>
  <Characters>1247</Characters>
  <Application>Microsoft Office Word</Application>
  <DocSecurity>0</DocSecurity>
  <Lines>17</Lines>
  <Paragraphs>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Dominik</dc:creator>
  <cp:lastModifiedBy>Dominik</cp:lastModifiedBy>
  <cp:revision>2</cp:revision>
  <dcterms:created xsi:type="dcterms:W3CDTF">2012-10-08T12:04:00Z</dcterms:created>
  <dcterms:modified xsi:type="dcterms:W3CDTF">2012-10-08T12:26:00Z</dcterms:modified>
</cp:coreProperties>
</file>